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Системная карта и ответственность компонентов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применения источника</w:t>
        </w:r>
      </w:hyperlink>
    </w:p>
    <w:p>
      <w:hyperlink w:anchor="s2">
        <w:r>
          <w:t>Состав и назначение</w:t>
        </w:r>
      </w:hyperlink>
    </w:p>
    <w:p>
      <w:hyperlink w:anchor="s3">
        <w:r>
          <w:t>Общая карта целевого экземпляра</w:t>
        </w:r>
      </w:hyperlink>
    </w:p>
    <w:p>
      <w:hyperlink w:anchor="s4">
        <w:r>
          <w:t>Владение состоянием</w:t>
        </w:r>
      </w:hyperlink>
    </w:p>
    <w:p>
      <w:hyperlink w:anchor="s5">
        <w:r>
          <w:t>Сквозной сценарий сотрудника</w:t>
        </w:r>
      </w:hyperlink>
    </w:p>
    <w:p>
      <w:hyperlink w:anchor="s6">
        <w:r>
          <w:t>Границы и зависимости</w:t>
        </w:r>
      </w:hyperlink>
    </w:p>
    <w:p>
      <w:hyperlink w:anchor="s7">
        <w:r>
          <w:t>Как читать документацию</w:t>
        </w:r>
      </w:hyperlink>
    </w:p>
    <w:p>
      <w:hyperlink w:anchor="s8">
        <w:r>
          <w:t>Готовность и поддержание документов</w:t>
        </w:r>
      </w:hyperlink>
    </w:p>
    <w:p>
      <w:hyperlink w:anchor="s9">
        <w:r>
          <w:t>Текущая связность</w:t>
        </w:r>
      </w:hyperlink>
    </w:p>
    <w:p>
      <w:r>
        <w:br w:type="page"/>
      </w:r>
    </w:p>
    <w:p>
      <w:pPr>
        <w:pStyle w:val="Heading1"/>
      </w:pPr>
      <w:r>
        <w:t>Область применения источника</w:t>
      </w:r>
      <w:bookmarkStart w:id="1" w:name="s1"/>
      <w:bookmarkEnd w:id="1"/>
    </w:p>
    <w:p>
      <w:pPr/>
      <w:r>
        <w:t>Актуальная продуктовая модель содержит Двигатель, Штат, Штурвал, Штрих и Шлюз. Этот справочник задаёт ответственность компонентов; состояние конкретных соединений приведено в документе готовности. Старые схемы из каталога артефактов сохраняются как материалы истории проекта.</w:t>
      </w:r>
    </w:p>
    <w:p>
      <w:pPr>
        <w:pStyle w:val="Heading1"/>
      </w:pPr>
      <w:r>
        <w:t>Состав и назначение</w:t>
      </w:r>
      <w:bookmarkStart w:id="2" w:name="s2"/>
      <w:bookmarkEnd w:id="2"/>
    </w:p>
    <w:p>
      <w:pPr/>
      <w:r>
        <w:t>Двигатель управляет серверными агентами и состоянием работы. Штат — веб-поверхность сотрудника. Штурвал — интерфейс оператора компании. Штрих — личное приложение с контекстом и чатом. Шлюз — расширение браузера с чатом сайта и разрешёнными действиями.</w:t>
      </w:r>
    </w:p>
    <w:p>
      <w:pPr/>
      <w:r>
        <w:t>Node, Native Messaging host, OpenCode и выбранная модель — поддерживающие части исполнения и транспорта. Они не добавляют пользовательские компоненты к указанным пяти. Operator MCP и встроенный TeamON MCP имеют свои границы полномочий.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4039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ite-system-2026091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3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Пять компонентов Ядра и границы текущей интеграции</w:t>
      </w:r>
    </w:p>
    <w:p>
      <w:pPr>
        <w:pStyle w:val="Heading1"/>
      </w:pPr>
      <w:r>
        <w:t>Общая карта целевого экземпляра</w:t>
      </w:r>
      <w:bookmarkStart w:id="3" w:name="s3"/>
      <w:bookmarkEnd w:id="3"/>
    </w:p>
    <w:p>
      <w:pPr>
        <w:spacing w:line="240" w:lineRule="auto"/>
      </w:pPr>
      <w:r>
        <w:rPr>
          <w:rFonts w:ascii="Courier New" w:hAnsi="Courier New"/>
          <w:sz w:val="16"/>
        </w:rPr>
        <w:t>flowchart TB</w:t>
        <w:br/>
        <w:t xml:space="preserve">  Employee[Сотрудник] --&gt; Staff[Сайт Штат]</w:t>
        <w:br/>
        <w:t xml:space="preserve">  Operator[Оператор] --&gt; Helm[Отдельный сайт Штурвал]</w:t>
        <w:br/>
        <w:t xml:space="preserve">  IdP[Служба входа заказчика] --&gt; Web[Web backend: сессии и область доступа]</w:t>
        <w:br/>
        <w:t xml:space="preserve">  Staff --&gt; Web</w:t>
        <w:br/>
        <w:t xml:space="preserve">  Helm --&gt; Web</w:t>
        <w:br/>
        <w:t xml:space="preserve">  Web --&gt; Core[Двигатель: Core]</w:t>
        <w:br/>
        <w:t xml:space="preserve">  Channels[Разрешённые мессенджеры] --&gt; Core</w:t>
        <w:br/>
        <w:t xml:space="preserve">  Core --&gt; Executor[OpenCode]</w:t>
        <w:br/>
        <w:t xml:space="preserve">  Executor --&gt; LLM[Модель заказчика или российский API]</w:t>
        <w:br/>
        <w:t xml:space="preserve">  Executor --&gt; Tools[Разрешённые инструменты]</w:t>
        <w:br/>
        <w:t xml:space="preserve">  Tools --&gt; Systems[Системы заказчика]</w:t>
        <w:br/>
        <w:t xml:space="preserve">  Core --&gt; State[История, задания, файлы, квитанции]</w:t>
        <w:br/>
        <w:t xml:space="preserve">  Core --&gt; STT[Распознавание речи по выбранному профилю]</w:t>
        <w:br/>
        <w:t xml:space="preserve">  Core &lt;--&gt; Node[Node: транспорт и Native host]</w:t>
        <w:br/>
        <w:t xml:space="preserve">  Node &lt;--&gt; Extension[Шлюз: расширение браузера]</w:t>
        <w:br/>
        <w:t xml:space="preserve">  Node &lt;--&gt; Personal[Штрих: личное приложение]</w:t>
        <w:br/>
        <w:t xml:space="preserve">  Node --&gt; Device[Разрешённые ресурсы компьютера]</w:t>
        <w:br/>
        <w:t xml:space="preserve">  Personal -. корпоративное подключение требует реализации .-&gt; Core</w:t>
      </w:r>
    </w:p>
    <w:p>
      <w:pPr/>
      <w:r>
        <w:t>Стрелка обозначает взаимодействие, а не разрешение на неограниченный доступ. Точный протокол, порт и политика задаются контрактом и профилем развёртывания. Веб-пилот с локальными индивидуальными сессиями и серверными привязками существует. Корпоративный IdP, произвольные проектные роли и полный интерфейс Штурвала остаются отдельными этапами. Показанная карта является целевой, а готовность каждого соединения описана ниже.</w:t>
      </w:r>
    </w:p>
    <w:p>
      <w:pPr>
        <w:pStyle w:val="Heading1"/>
      </w:pPr>
      <w:r>
        <w:t>Владение состоянием</w:t>
      </w:r>
      <w:bookmarkStart w:id="4" w:name="s4"/>
      <w:bookmarkEnd w:id="4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Ответственный компонент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Правило взаимодействия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Учётная запись организации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IdP заказчика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Backend проверяет вход и связывает личность с разрешениями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Сессия сайта и её отзыв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Web backend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Браузер не назначает себе роль или проект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Агент, диалог, задание, история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Core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UI отправляет команды и читает разрешённое представление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Техническая сессия исполнения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OpenCode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Связана с заданием Core, не подменяет его бизнес-состояние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Результат внешнего действия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Исполнитель и квитанция Core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Отправка команды не равна успешному выполнению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Локальное устройство и разрешения ОС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Штрих, Node и Шлюз в своих границах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Серверное поручение ограничено pairing и локальными разрешениями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Файлы и знания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Рабочая область Core или разрешённый источник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Назначение агенту и доступ пользователя проверяются отдельно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Ключи провайдеров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Серверный профиль секретов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Не попадают в UI, общую поставку и журнал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Черновик интерфейса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Штат/Штурвал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До принятия сервером не является выполненной операцией</w:t>
            </w:r>
          </w:p>
        </w:tc>
      </w:tr>
    </w:tbl>
    <w:p>
      <w:pPr/>
      <w:r>
        <w:t>Это целевое распределение ответственности. Миграция старых путей и конкретная схема делегирования полномочий проходят отдельную реализацию и испытания.</w:t>
      </w:r>
    </w:p>
    <w:p>
      <w:pPr>
        <w:pStyle w:val="Heading1"/>
      </w:pPr>
      <w:r>
        <w:t>Сквозной сценарий сотрудника</w:t>
      </w:r>
      <w:bookmarkStart w:id="5" w:name="s5"/>
      <w:bookmarkEnd w:id="5"/>
    </w:p>
    <w:p>
      <w:pPr>
        <w:spacing w:line="240" w:lineRule="auto"/>
      </w:pPr>
      <w:r>
        <w:rPr>
          <w:rFonts w:ascii="Courier New" w:hAnsi="Courier New"/>
          <w:sz w:val="16"/>
        </w:rPr>
        <w:t>sequenceDiagram</w:t>
        <w:br/>
        <w:t xml:space="preserve">  actor User as Сотрудник</w:t>
        <w:br/>
        <w:t xml:space="preserve">  participant UI as Штат</w:t>
        <w:br/>
        <w:t xml:space="preserve">  participant Web as Web backend</w:t>
        <w:br/>
        <w:t xml:space="preserve">  participant Core as Двигатель</w:t>
        <w:br/>
        <w:t xml:space="preserve">  participant Model as Модель и инструменты</w:t>
        <w:br/>
        <w:t xml:space="preserve">  participant Node as Node и разрешённый Шлюз</w:t>
        <w:br/>
        <w:t xml:space="preserve">  User-&gt;&gt;UI: Задача и выбранные материалы</w:t>
        <w:br/>
        <w:t xml:space="preserve">  UI-&gt;&gt;Web: Команда в авторизованной сессии</w:t>
        <w:br/>
        <w:t xml:space="preserve">  Web-&gt;&gt;Core: Проверенный actor и область доступа</w:t>
        <w:br/>
        <w:t xml:space="preserve">  Core--&gt;&gt;UI: Задание принято, идентификатор</w:t>
        <w:br/>
        <w:t xml:space="preserve">  Core-&gt;&gt;Model: Выполнение в разрешённых пределах</w:t>
        <w:br/>
        <w:t xml:space="preserve">  opt Нужно действие на компьютере</w:t>
        <w:br/>
        <w:t xml:space="preserve">    Core-&gt;&gt;Node: Команда для связанного устройства</w:t>
        <w:br/>
        <w:t xml:space="preserve">    Node--&gt;&gt;Core: Результат или отказ/неизвестное состояние</w:t>
        <w:br/>
        <w:t xml:space="preserve">  end</w:t>
        <w:br/>
        <w:t xml:space="preserve">  Model--&gt;&gt;Core: Результат выполнения</w:t>
        <w:br/>
        <w:t xml:space="preserve">  Core--&gt;&gt;UI: Состояние и доступные артефакты</w:t>
        <w:br/>
        <w:t xml:space="preserve">  UI--&gt;&gt;User: Проверяемый результат</w:t>
      </w:r>
    </w:p>
    <w:p>
      <w:pPr/>
      <w:r>
        <w:t>При разрыве связи интерфейс перечитывает состояние по идентификатору. Он не создаёт второе задание автоматически. Неизвестный эффект выясняется до повтора. Изменение оператором проходит подготовку, просмотр, подтверждение и проверку ревизии; подробный сценарий описан в паспорте Штурвала.</w:t>
      </w:r>
    </w:p>
    <w:p>
      <w:pPr>
        <w:pStyle w:val="Heading1"/>
      </w:pPr>
      <w:r>
        <w:t>Границы и зависимости</w:t>
      </w:r>
      <w:bookmarkStart w:id="6" w:name="s6"/>
      <w:bookmarkEnd w:id="6"/>
    </w:p>
    <w:p>
      <w:pPr/>
      <w:r>
        <w:t>Браузер, сервер, компьютер сотрудника и внешние API — разные зоны доверия. Текст модели, документ и страница браузера не предоставляют полномочий. Контроль выполняется на сервере и повторно перед чувствительным действием. Корпоративный контур может использовать внутреннюю модель; внешний API требует явно выбранной политики передачи данных. Локальная установка сама по себе не означает отсутствия сетевых обращений или готового автономного режима.</w:t>
      </w:r>
    </w:p>
    <w:p>
      <w:pPr/>
      <w:r>
        <w:t>Двигатель нужен всем сценариям. Штат и Штурвал используют его контракты через авторизованный backend. Шлюз нужен сценариям устройства. STT нужен обработке реального аудио; тестовый текст не подтверждает работу распознавания. Недоступность опционального подключения должна давать понятный статус конкретной функции.</w:t>
      </w:r>
    </w:p>
    <w:p>
      <w:pPr>
        <w:pStyle w:val="Heading1"/>
      </w:pPr>
      <w:r>
        <w:t>Как читать документацию</w:t>
      </w:r>
      <w:bookmarkStart w:id="7" w:name="s7"/>
      <w:bookmarkEnd w:id="7"/>
    </w:p>
    <w:p>
      <w:pPr>
        <w:pStyle w:val="ListBullet"/>
      </w:pPr>
      <w:r>
        <w:t>Состав и границы продукта (см. оглавление документации).</w:t>
      </w:r>
    </w:p>
    <w:p>
      <w:pPr>
        <w:pStyle w:val="ListBullet"/>
      </w:pPr>
      <w:r>
        <w:t>Паспорта пяти компонентов: цели, пользователи, карты, данные, архитектура,</w:t>
        <w:br/>
        <w:t xml:space="preserve">   сценарии, безопасность, отказы, эксплуатация, источники и открытые решения.</w:t>
      </w:r>
    </w:p>
    <w:p>
      <w:pPr>
        <w:pStyle w:val="ListBullet"/>
      </w:pPr>
      <w:r>
        <w:t>Экраны и роли (см. оглавление документации) и</w:t>
        <w:br/>
        <w:t xml:space="preserve">   технический проект (см. оглавление документации).</w:t>
      </w:r>
    </w:p>
    <w:p>
      <w:pPr>
        <w:pStyle w:val="ListBullet"/>
      </w:pPr>
      <w:r>
        <w:t>Реестр наработок (см. оглавление документации) и</w:t>
        <w:br/>
        <w:t xml:space="preserve">   состав артефактов (см. оглавление документации).</w:t>
      </w:r>
    </w:p>
    <w:p>
      <w:pPr>
        <w:pStyle w:val="ListBullet"/>
      </w:pPr>
      <w:r>
        <w:t>Этапы реализации (см. оглавление документации),</w:t>
        <w:br/>
        <w:t xml:space="preserve">   план демо (см. оглавление документации),</w:t>
        <w:br/>
        <w:t xml:space="preserve">   приёмка ENT (см. оглавление документации).</w:t>
      </w:r>
    </w:p>
    <w:p>
      <w:pPr>
        <w:pStyle w:val="Heading1"/>
      </w:pPr>
      <w:r>
        <w:t>Готовность и поддержание документов</w:t>
      </w:r>
      <w:bookmarkStart w:id="8" w:name="s8"/>
      <w:bookmarkEnd w:id="8"/>
    </w:p>
    <w:p>
      <w:pPr/>
      <w:r>
        <w:t>«Есть исходник», «собирается», «проверено локально» и «принято в корпоративном профиле» — разные статусы. Наличие описания не закрывает ENT. Для приёмки нужны версия артефакта, среда, шаги, фактический результат и файл доказательства. Паспорта фиксируют проверенные исходные точки и целевое поведение отдельно.</w:t>
      </w:r>
    </w:p>
    <w:p>
      <w:pPr/>
      <w:r>
        <w:t>При изменении компонента обновляются его паспорт, общий контракт при затрагивании соседей, состав артефактов и связанные ENT. Новая поддерживаемая ОС, модель или интеграция появляется в эксплуатационных обещаниях после испытания. Нерешённые вопросы сохраняются в разделе открытых решений до получения фактов.</w:t>
      </w:r>
    </w:p>
    <w:p>
      <w:pPr>
        <w:pStyle w:val="Heading1"/>
      </w:pPr>
      <w:r>
        <w:t>Текущая связность</w:t>
      </w:r>
      <w:bookmarkStart w:id="9" w:name="s9"/>
      <w:bookmarkEnd w:id="9"/>
    </w:p>
    <w:p>
      <w:pPr/>
      <w:r>
        <w:t>Штат и веб-Штурвал обращаются к своему backend и разрешённым API Core. Публичный консультант использует отдельный gateway и отдельный профиль OpenCode с запрещёнными инструментами. Он не подключён к корпоративным полномочиям сотрудника.</w:t>
      </w:r>
    </w:p>
    <w:p>
      <w:pPr/>
      <w:r>
        <w:t>Личная связанная беседа Штрих — Шлюз реализована в согласованном кандидате через Node. Корпоративный маршрут расширения проходит через Node к Core. Нативное корпоративное подключение самого Штриха, общая личность работы между всеми каналами и перенос фонового Node остаются отдельными задачами.</w:t>
      </w:r>
    </w:p>
    <w:p>
      <w:pPr/>
      <w:r>
        <w:t>Штрих сейчас предоставляется для macOS 15 и новее; Windows запланирована. Состояние каждого пути проверяется независимо, включая полномочия, модель, историю, локальные действия и отзыв.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system-reference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Системная карта и ответственность компонентов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