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Модель безопасности и автономное размещение</w:t>
      </w:r>
    </w:p>
    <w:p>
      <w:r>
        <w:t>Тимон Ядро · Служба информационной безопасности, архитектор, администратор</w:t>
      </w:r>
    </w:p>
    <w:p>
      <w:r>
        <w:t>Редакция 2026-09-15 · Редакция 15 сентября 2026 года; состояние функций уточняется документом готовности</w:t>
      </w:r>
    </w:p>
    <w:p>
      <w:r>
        <w:t>Область применимости и актуальные ограничения: https://team-on.ru/yadro/docs/readiness.html</w:t>
      </w:r>
    </w:p>
    <w:p>
      <w:pPr>
        <w:pStyle w:val="Heading1"/>
      </w:pPr>
      <w:r>
        <w:t>Оглавление</w:t>
      </w:r>
    </w:p>
    <w:p>
      <w:hyperlink w:anchor="s1">
        <w:r>
          <w:t>Границы доверия</w:t>
        </w:r>
      </w:hyperlink>
    </w:p>
    <w:p>
      <w:hyperlink w:anchor="s2">
        <w:r>
          <w:t>Вход в веб пилот</w:t>
        </w:r>
      </w:hyperlink>
    </w:p>
    <w:p>
      <w:hyperlink w:anchor="s3">
        <w:r>
          <w:t>Секреты и инструменты</w:t>
        </w:r>
      </w:hyperlink>
    </w:p>
    <w:p>
      <w:hyperlink w:anchor="s4">
        <w:r>
          <w:t>Данные и знания</w:t>
        </w:r>
      </w:hyperlink>
    </w:p>
    <w:p>
      <w:hyperlink w:anchor="s5">
        <w:r>
          <w:t>Подключение рабочего устройства</w:t>
        </w:r>
      </w:hyperlink>
    </w:p>
    <w:p>
      <w:hyperlink w:anchor="s6">
        <w:r>
          <w:t>Работа без внешнего интернета</w:t>
        </w:r>
      </w:hyperlink>
    </w:p>
    <w:p>
      <w:hyperlink w:anchor="s7">
        <w:r>
          <w:t>Проверка и ответственность</w:t>
        </w:r>
      </w:hyperlink>
    </w:p>
    <w:p>
      <w:hyperlink w:anchor="s8">
        <w:r>
          <w:t>Управляемый Context и изоляция</w:t>
        </w:r>
      </w:hyperlink>
    </w:p>
    <w:p>
      <w:hyperlink w:anchor="s9">
        <w:r>
          <w:t>Публичный чат</w:t>
        </w:r>
      </w:hyperlink>
    </w:p>
    <w:p>
      <w:r>
        <w:br w:type="page"/>
      </w:r>
    </w:p>
    <w:p>
      <w:pPr>
        <w:pStyle w:val="Heading1"/>
      </w:pPr>
      <w:r>
        <w:t>Границы доверия</w:t>
      </w:r>
      <w:bookmarkStart w:id="1" w:name="s1"/>
      <w:bookmarkEnd w:id="1"/>
    </w:p>
    <w:p>
      <w:pPr/>
      <w:r>
        <w:t>Рабочий браузер, серверный backend, исполнитель модели, устройство сотрудника и внешний API рассматриваются как отдельные зоны. Документ, веб-страница и ответ модели являются входными данными. Они не предоставляют права на чтение чужой области, запуск команды или передачу сведений наружу.</w:t>
      </w:r>
    </w:p>
    <w:p>
      <w:pPr/>
      <w:r>
        <w:t>Полномочия должны проверяться сервером для конкретного действия и объекта. Скрытая кнопка в интерфейсе не является механизмом защиты. После ожидания в очереди права необходимо учитывать повторно, поскольку доступ мог быть отозван. Полная корпоративная модель ролей остаётся предметом реализации и сквозной приёмки.</w:t>
      </w:r>
    </w:p>
    <w:p>
      <w:pPr>
        <w:pStyle w:val="Heading1"/>
      </w:pPr>
      <w:r>
        <w:t>Вход в веб пилот</w:t>
      </w:r>
      <w:bookmarkStart w:id="2" w:name="s2"/>
      <w:bookmarkEnd w:id="2"/>
    </w:p>
    <w:p>
      <w:pPr/>
      <w:r>
        <w:t>В пилоте используется отдельная сессия для каждого приложения. Cookie имеет признаки Secure, HttpOnly, SameSite Strict; изменения требуют проверки Origin и CSRF. Сеанс ограничен восемью часами и тридцатью минутами бездействия; перезапуск backend завершает сеансы в памяти. Изменение учётной записи или серверной привязки отзывает сессию.</w:t>
      </w:r>
    </w:p>
    <w:p>
      <w:pPr/>
      <w:r>
        <w:t>Код доступа в этой конфигурации должен быть длинным и случайным. Описанная схема хранения его SHA-256 не предлагается как универсальная схема для коротких пользовательских паролей. Корпоративный IdP, MFA и жизненный цикл сотрудников требуют отдельной интеграции; наличие пилотного входа их не подтверждает.</w:t>
      </w:r>
    </w:p>
    <w:p>
      <w:pPr>
        <w:pStyle w:val="Heading1"/>
      </w:pPr>
      <w:r>
        <w:t>Секреты и инструменты</w:t>
      </w:r>
      <w:bookmarkStart w:id="3" w:name="s3"/>
      <w:bookmarkEnd w:id="3"/>
    </w:p>
    <w:p>
      <w:pPr/>
      <w:r>
        <w:t>Серверные ключи Core и модели не должны попадать в браузер, публичные материалы или обычные журналы. Конфигурация с секретами хранится вне каталога статического сайта. Контроль доступа распространяется и на процессы инструментов: сокрытие ключа в интерфейсе не доказывает, что его нельзя прочитать из дочернего процесса.</w:t>
      </w:r>
    </w:p>
    <w:p>
      <w:pPr/>
      <w:r>
        <w:t>Для каждого инструмента определяют разрешённые файлы, сеть и операции. Подтверждение чувствительного действия должно относиться к конкретному содержанию, адресату и актуальному состоянию. Рекомендация модели не заменяет такое подтверждение. Изменение инструкции агента само по себе не расширяет системные полномочия.</w:t>
      </w:r>
    </w:p>
    <w:p>
      <w:pPr>
        <w:pStyle w:val="Heading1"/>
      </w:pPr>
      <w:r>
        <w:t>Данные и знания</w:t>
      </w:r>
      <w:bookmarkStart w:id="4" w:name="s4"/>
      <w:bookmarkEnd w:id="4"/>
    </w:p>
    <w:p>
      <w:pPr/>
      <w:r>
        <w:t>Для материалов задают владельца, область доступа, срок хранения и порядок удаления. Доступ к результату по прямой ссылке должен соответствовать доступу через интерфейс. Индекс, извлечённый текст и кеш требуют той же политики, что исходный материал. Отдельно проверяют доступ к историческим версиям и резервным копиям.</w:t>
      </w:r>
    </w:p>
    <w:p>
      <w:pPr/>
      <w:r>
        <w:t>Вывод модели может содержать ошибку или воспроизвести недостоверные данные источника. Поэтому значимые решения сопровождаются проверяемыми ссылками и ответственным человеком. Политика базы знаний должна предусматривать исправление, замену и вывод устаревших правил из активного использования.</w:t>
      </w:r>
    </w:p>
    <w:p>
      <w:pPr>
        <w:pStyle w:val="Heading1"/>
      </w:pPr>
      <w:r>
        <w:t>Подключение рабочего устройства</w:t>
      </w:r>
      <w:bookmarkStart w:id="5" w:name="s5"/>
      <w:bookmarkEnd w:id="5"/>
    </w:p>
    <w:p>
      <w:pPr/>
      <w:r>
        <w:t>Штрих хранит личную работу сотрудника; Шлюз действует в браузере; Node обеспечивает транспорт и поддерживаемые локальные операции. У приложения и расширения разные области разрешений. Выбор вкладки не означает разрешение читать всю личную библиотеку, а связь с корпоративным агентом не означает передачу всех материалов компании.</w:t>
      </w:r>
    </w:p>
    <w:p>
      <w:pPr/>
      <w:r>
        <w:t>В проверенном кандидате связанная браузерная беседа ограничена профилем, сайтом и выбранным маршрутом. Проверяются совместимость транспорта, идентичность владельца, актуальность запроса остановки и сохранение черновика. Браузерный профиль не получает личную память и произвольные локальные инструменты только потому, что использует тот же установленный исполнитель.</w:t>
      </w:r>
    </w:p>
    <w:p>
      <w:pPr/>
      <w:r>
        <w:t>Системные разрешения macOS, идентичность расширения и регистрация Native host проверяются отдельно. Windows-версия Штриха запланирована; наличие вспомогательного Windows-кода в Node не доказывает готовность приложения для Windows. При выпуске проверяются обновление и откат всего комплекта.</w:t>
      </w:r>
    </w:p>
    <w:p>
      <w:pPr>
        <w:pStyle w:val="Heading1"/>
      </w:pPr>
      <w:r>
        <w:t>Работа без внешнего интернета</w:t>
      </w:r>
      <w:bookmarkStart w:id="6" w:name="s6"/>
      <w:bookmarkEnd w:id="6"/>
    </w:p>
    <w:p>
      <w:pPr/>
      <w:r>
        <w:t>Автономность достигается конфигурацией: локальная модель, внутренние данные, доступные DNS и служба входа, локальные зависимости и разрешённые инструменты. Также необходимы работающие серверы, локальная сеть и питание. Интеграция с внешним сервисом без связи с ним не продолжит получать актуальные данные.</w:t>
      </w:r>
    </w:p>
    <w:p>
      <w:pPr/>
      <w:r>
        <w:t>Приёмочный тест отключает внешний исходящий доступ и повторяет согласованные рабочие задачи, вход, работу с файлами и диагностику. Отдельно проверяют установку и обновление: способность уже запущенной системы работать офлайн не доказывает возможность установить её без сети. Внешний fallback должен быть исключён либо явно предусмотрен согласованной политикой.</w:t>
      </w:r>
    </w:p>
    <w:p>
      <w:pPr/>
      <w:r>
        <w:t>Компания может пополнять знания и улучшать проверенные навыки в автономном режиме при наличии соответствующих локальных функций. Это не автоматическое дообучение весов модели. Изоляция сети также не является сама по себе сертификатом соответствия требованиям защиты информации.</w:t>
      </w:r>
    </w:p>
    <w:p>
      <w:pPr>
        <w:pStyle w:val="Heading1"/>
      </w:pPr>
      <w:r>
        <w:t>Проверка и ответственность</w:t>
      </w:r>
      <w:bookmarkStart w:id="7" w:name="s7"/>
      <w:bookmarkEnd w:id="7"/>
    </w:p>
    <w:p>
      <w:pPr/>
      <w:r>
        <w:t>План безопасности включает отрицательные тесты чужих объектов, отзыв сессий, прямые ссылки на файлы, утечки секретов, повторы действий, журналирование и восстановление. Результат привязывают к версии и среде. Проверка структуры кода и тесты на фикстурах не заменяют оценку промышленного контура.</w:t>
      </w:r>
    </w:p>
    <w:p>
      <w:pPr/>
      <w:r>
        <w:t>Состав защитных мер и ответственность сторон фиксируются в проекте внедрения. Этот документ описывает модель и требования, не заявляет сертификацию, универсальную защищённость или готовность обработки любых категорий данных без оценки конкретной конфигурации.</w:t>
      </w:r>
    </w:p>
    <w:p>
      <w:pPr>
        <w:pStyle w:val="Heading1"/>
      </w:pPr>
      <w:r>
        <w:t>Управляемый Context и изоляция</w:t>
      </w:r>
      <w:bookmarkStart w:id="8" w:name="s8"/>
      <w:bookmarkEnd w:id="8"/>
    </w:p>
    <w:p>
      <w:pPr/>
      <w:r>
        <w:t>В свежем коде управляемый Context предназначен для коллекций знаний, пользовательских материалов, памяти и артефактов. Ролевая модель и области объектов должны ограничивать не только результат поиска, но и чтение исходного файла, старой версии, вложения и кеша.</w:t>
      </w:r>
    </w:p>
    <w:p>
      <w:pPr/>
      <w:r>
        <w:t>Текущий режим выключен по умолчанию и предназначен для лабораторной работы владельца. При включённом лабораторном режиме либо наличии приватного vault выполняются защитные проверки перед запуском исполнителей других пользователей. Это предохранитель до завершения изоляции, а не готовая многопользовательская защита Context.</w:t>
      </w:r>
    </w:p>
    <w:p>
      <w:pPr/>
      <w:r>
        <w:t>До выпуска требуется доказать, что инструменты процесса не читают чужие файлы в обход MCP. Разные каталоги, идентификаторы сессий и скрытая кнопка не обеспечивают такую границу сами по себе. Проверка API и локальных тестов не заменяет испытание операционной системы в конфигурации поставки.</w:t>
      </w:r>
    </w:p>
    <w:p>
      <w:pPr>
        <w:pStyle w:val="Heading1"/>
      </w:pPr>
      <w:r>
        <w:t>Публичный чат</w:t>
      </w:r>
      <w:bookmarkStart w:id="9" w:name="s9"/>
      <w:bookmarkEnd w:id="9"/>
    </w:p>
    <w:p>
      <w:pPr/>
      <w:r>
        <w:t>Публичный консультант использует отдельный профиль OpenCode с запрещёнными инструментами. Его гостевая история и разрешённая документация отделены от корпоративных пользователей и агентов. В браузере ответы отображаются как текст; только точные ссылки из разрешённого каталога превращаются в иллюстрации.</w:t>
      </w:r>
    </w:p>
    <w:p>
      <w:pPr/>
      <w:r>
        <w:t>Гостя определяет серверная cookie; идентификатор другого пользователя, указанный в сообщении, не выбирает чужую историю. Согласие на обработку данных и карточка провайдера доступны до отправки. На общем профиле браузера история принадлежит этому профилю, поэтому общий компьютер требует своей политики использования.</w:t>
      </w:r>
    </w:p>
    <w:p>
      <w:pPr/>
      <w:r>
        <w:t>Такая изоляция публичного помощника не подтверждает автоматически изоляцию всех корпоративных исполнителей, клиентских MCP и систем компании. Применимость каждой меры проверяется в её собственном контуре.</w:t>
      </w:r>
    </w:p>
    <w:p>
      <w:pPr>
        <w:pStyle w:val="Heading1"/>
      </w:pPr>
      <w:r>
        <w:t>Основание документа</w:t>
      </w:r>
    </w:p>
    <w:p>
      <w:pPr>
        <w:keepLines/>
      </w:pPr>
      <w:r>
        <w:rPr>
          <w:sz w:val="18"/>
        </w:rPr>
        <w:t>Сверка продуктовых документов и закреплённых исходников 15 сентября 2026 года. Проверка документации не заменяет промышленную приёмку. Полная применимость определяется документом о состоянии компонентов.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Тимон Ядро · security-guide · 2026-09-15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безопасности и автономное размещение</dc:title>
  <dc:subject/>
  <dc:creator>Тимон Ядро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