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Подробный паспорт Штурвала</w:t>
      </w:r>
    </w:p>
    <w:p>
      <w:r>
        <w:t>Тимон Ядро · Архитектор и разработчик интеграции</w:t>
      </w:r>
    </w:p>
    <w:p>
      <w:r>
        <w:t>Редакция 2026-09-15 · Редакция 15 сентября 2026 года; состояние функций уточняется документом готовности</w:t>
      </w:r>
    </w:p>
    <w:p>
      <w:r>
        <w:t>Область применимости и актуальные ограничения: https://team-on.ru/yadro/docs/readiness.html</w:t>
      </w:r>
    </w:p>
    <w:p>
      <w:pPr>
        <w:pStyle w:val="Heading1"/>
      </w:pPr>
      <w:r>
        <w:t>Оглавление</w:t>
      </w:r>
    </w:p>
    <w:p>
      <w:hyperlink w:anchor="s1">
        <w:r>
          <w:t>Область применения источника</w:t>
        </w:r>
      </w:hyperlink>
    </w:p>
    <w:p>
      <w:hyperlink w:anchor="s2">
        <w:r>
          <w:t>1. Цель и смысл</w:t>
        </w:r>
      </w:hyperlink>
    </w:p>
    <w:p>
      <w:hyperlink w:anchor="s3">
        <w:r>
          <w:t>2. Пользователи и ценность</w:t>
        </w:r>
      </w:hyperlink>
    </w:p>
    <w:p>
      <w:hyperlink w:anchor="s4">
        <w:r>
          <w:t>3. Системная карта</w:t>
        </w:r>
      </w:hyperlink>
    </w:p>
    <w:p>
      <w:hyperlink w:anchor="s5">
        <w:r>
          <w:t>4. Экраны и задачи</w:t>
        </w:r>
      </w:hyperlink>
    </w:p>
    <w:p>
      <w:hyperlink w:anchor="s6">
        <w:r>
          <w:t>5. Архитектура и переиспользование</w:t>
        </w:r>
      </w:hyperlink>
    </w:p>
    <w:p>
      <w:hyperlink w:anchor="s7">
        <w:r>
          <w:t>6. Контракты и данные</w:t>
        </w:r>
      </w:hyperlink>
    </w:p>
    <w:p>
      <w:hyperlink w:anchor="s8">
        <w:r>
          <w:t>7. Подготовка и подтверждение</w:t>
        </w:r>
      </w:hyperlink>
    </w:p>
    <w:p>
      <w:hyperlink w:anchor="s9">
        <w:r>
          <w:t>8. Безопасность</w:t>
        </w:r>
      </w:hyperlink>
    </w:p>
    <w:p>
      <w:hyperlink w:anchor="s10">
        <w:r>
          <w:t>9. Отказы и сопровождение</w:t>
        </w:r>
      </w:hyperlink>
    </w:p>
    <w:p>
      <w:hyperlink w:anchor="s11">
        <w:r>
          <w:t>10. Развёртывание и статус</w:t>
        </w:r>
      </w:hyperlink>
    </w:p>
    <w:p>
      <w:hyperlink w:anchor="s12">
        <w:r>
          <w:t>11. Приёмка</w:t>
        </w:r>
      </w:hyperlink>
    </w:p>
    <w:p>
      <w:hyperlink w:anchor="s13">
        <w:r>
          <w:t>12. Открытые решения</w:t>
        </w:r>
      </w:hyperlink>
    </w:p>
    <w:p>
      <w:hyperlink w:anchor="s14">
        <w:r>
          <w:t>Разделение управляющих поверхностей</w:t>
        </w:r>
      </w:hyperlink>
    </w:p>
    <w:p>
      <w:r>
        <w:br w:type="page"/>
      </w:r>
    </w:p>
    <w:p>
      <w:pPr>
        <w:pStyle w:val="Heading1"/>
      </w:pPr>
      <w:r>
        <w:t>Область применения источника</w:t>
      </w:r>
      <w:bookmarkStart w:id="1" w:name="s1"/>
      <w:bookmarkEnd w:id="1"/>
    </w:p>
    <w:p>
      <w:pPr/>
      <w:r>
        <w:t>Веб-Штурвал в составе Ядра — ограниченный интерфейс Core Operator API. Он читает состояние агента и предоставляет подготовку, подтверждение и чтение результата изменения имени, описания и языка. Публичная страница входа доступна.</w:t>
      </w:r>
    </w:p>
    <w:p>
      <w:pPr/>
      <w:r>
        <w:t>Отдельный Operator MCP предоставляет разрешённые административные операции, а рабочее пространство Operator — фиксированный UI чтения. Это самостоятельные поверхности: их наличие не означает, что полный набор инструментов уже доступен в веб-Штурвале. Далее описан целевой состав и принципы; готовность каждой операции проверяется отдельно.</w:t>
      </w:r>
    </w:p>
    <w:p>
      <w:pPr>
        <w:pStyle w:val="Heading1"/>
      </w:pPr>
      <w:r>
        <w:t>1. Цель и смысл</w:t>
      </w:r>
      <w:bookmarkStart w:id="2" w:name="s2"/>
      <w:bookmarkEnd w:id="2"/>
    </w:p>
    <w:p>
      <w:pPr/>
      <w:r>
        <w:t>Помочь человеку понимать состояние ИИ-сотрудников, менять их настройки и сопровождать работу до результата. Оператор формулирует намерение, видит область и последствия изменения, подтверждает его и получает проверяемый результат. Это человеческая поверхность управления, доступная через браузер без Codex.</w:t>
      </w:r>
    </w:p>
    <w:p>
      <w:pPr/>
      <w:r>
        <w:t>Штурвал использует существующие операции Operator и Core. Он не создаёт второй планировщик, память агентов или автономного администратора с неограниченными правами.</w:t>
      </w:r>
    </w:p>
    <w:p>
      <w:pPr>
        <w:pStyle w:val="Heading1"/>
      </w:pPr>
      <w:r>
        <w:t>2. Пользователи и ценность</w:t>
      </w:r>
      <w:bookmarkStart w:id="3" w:name="s3"/>
      <w:bookmarkEnd w:id="3"/>
    </w:p>
    <w:p>
      <w:pPr/>
      <w:r>
        <w:t>Оператор работает с назначенными агентами; системный администратор — с разрешёнными настройками экземпляра; аудитор читает доступный журнал. Эти роли не обязаны иметь доступ ко всем личным разговорам. Эффективная область показывается пользователю. Ценность: быстрее диагностировать проблему, применить нужное изменение и проверить его, сохранив непрерывность работы сотрудника. Метрики — время диагностики, подтверждённые результаты, конфликты/отказы и отсутствие дублированных действий.</w:t>
      </w:r>
    </w:p>
    <w:p>
      <w:pPr>
        <w:pStyle w:val="Heading1"/>
      </w:pPr>
      <w:r>
        <w:t>3. Системная карта</w:t>
      </w:r>
      <w:bookmarkStart w:id="4" w:name="s4"/>
      <w:bookmarkEnd w:id="4"/>
    </w:p>
    <w:p>
      <w:pPr>
        <w:spacing w:line="240" w:lineRule="auto"/>
      </w:pPr>
      <w:r>
        <w:rPr>
          <w:rFonts w:ascii="Courier New" w:hAnsi="Courier New"/>
          <w:sz w:val="16"/>
        </w:rPr>
        <w:t>flowchart LR</w:t>
        <w:br/>
        <w:t xml:space="preserve">  Person[Оператор] --&gt; Site[Сайт Штурвал]</w:t>
        <w:br/>
        <w:t xml:space="preserve">  Site --&gt; Auth[Сессия / роль / область]</w:t>
        <w:br/>
        <w:t xml:space="preserve">  Auth --&gt; Adapter[Серверный Operator adapter]</w:t>
        <w:br/>
        <w:t xml:space="preserve">  Adapter --&gt; Core[Core commands]</w:t>
        <w:br/>
        <w:t xml:space="preserve">  Core --&gt; Receipt[Status / receipt / события]</w:t>
        <w:br/>
        <w:t xml:space="preserve">  Receipt --&gt; Site</w:t>
        <w:br/>
        <w:t xml:space="preserve">  Adapter --&gt; Help[Приватная консультация через Core]</w:t>
      </w:r>
    </w:p>
    <w:p>
      <w:pPr/>
      <w:r>
        <w:t>MCP — дополнительный транспорт/интерфейс интеграции. Пользователь не устанавливает MCP host. Серверная переиспользуемая логика и UI — разные части комплекта.</w:t>
      </w:r>
    </w:p>
    <w:p>
      <w:pPr>
        <w:pStyle w:val="Heading1"/>
      </w:pPr>
      <w:r>
        <w:t>4. Экраны и задачи</w:t>
      </w:r>
      <w:bookmarkStart w:id="5" w:name="s5"/>
      <w:bookmarkEnd w:id="5"/>
    </w:p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00" w:type="dxa"/>
          <w:bottom w:w="100" w:type="dxa"/>
          <w:right w:w="100" w:type="dxa"/>
        </w:tblCellMar>
      </w:tblPr>
      <w:tblGrid>
        <w:gridCol w:w="3213"/>
        <w:gridCol w:w="3213"/>
        <w:gridCol w:w="3213"/>
      </w:tblGrid>
      <w:tr>
        <w:trPr>
          <w:cantSplit/>
          <w:tblHeader/>
        </w:trPr>
        <w:tc>
          <w:tcPr>
            <w:tcW w:type="dxa" w:w="2041"/>
            <w:vAlign w:val="center"/>
            <w:shd w:fill="E9EFF6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Раздел</w:t>
            </w:r>
          </w:p>
        </w:tc>
        <w:tc>
          <w:tcPr>
            <w:tcW w:type="dxa" w:w="3798"/>
            <w:vAlign w:val="center"/>
            <w:shd w:fill="E9EFF6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Что делает оператор</w:t>
            </w:r>
          </w:p>
        </w:tc>
        <w:tc>
          <w:tcPr>
            <w:tcW w:type="dxa" w:w="3798"/>
            <w:vAlign w:val="center"/>
            <w:shd w:fill="E9EFF6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Область контроля</w:t>
            </w:r>
          </w:p>
        </w:tc>
      </w:tr>
      <w:tr>
        <w:trPr>
          <w:cantSplit/>
        </w:trPr>
        <w:tc>
          <w:tcPr>
            <w:tcW w:type="dxa" w:w="2041"/>
            <w:vAlign w:val="center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Обзор</w:t>
            </w:r>
          </w:p>
        </w:tc>
        <w:tc>
          <w:tcPr>
            <w:tcW w:type="dxa" w:w="3798"/>
            <w:vAlign w:val="center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Проверяет готовность и незавершённые задачи</w:t>
            </w:r>
          </w:p>
        </w:tc>
        <w:tc>
          <w:tcPr>
            <w:tcW w:type="dxa" w:w="3798"/>
            <w:vAlign w:val="center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Версия и время последней проверки</w:t>
            </w:r>
          </w:p>
        </w:tc>
      </w:tr>
      <w:tr>
        <w:trPr>
          <w:cantSplit/>
        </w:trPr>
        <w:tc>
          <w:tcPr>
            <w:tcW w:type="dxa" w:w="2041"/>
            <w:vAlign w:val="center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Агенты</w:t>
            </w:r>
          </w:p>
        </w:tc>
        <w:tc>
          <w:tcPr>
            <w:tcW w:type="dxa" w:w="3798"/>
            <w:vAlign w:val="center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Читает и меняет настройки/контекст/навыки</w:t>
            </w:r>
          </w:p>
        </w:tc>
        <w:tc>
          <w:tcPr>
            <w:tcW w:type="dxa" w:w="3798"/>
            <w:vAlign w:val="center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Agent scope, revision и diff</w:t>
            </w:r>
          </w:p>
        </w:tc>
      </w:tr>
      <w:tr>
        <w:trPr>
          <w:cantSplit/>
        </w:trPr>
        <w:tc>
          <w:tcPr>
            <w:tcW w:type="dxa" w:w="2041"/>
            <w:vAlign w:val="center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Задания/диалоги</w:t>
            </w:r>
          </w:p>
        </w:tc>
        <w:tc>
          <w:tcPr>
            <w:tcW w:type="dxa" w:w="3798"/>
            <w:vAlign w:val="center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Диагностирует и консультируется</w:t>
            </w:r>
          </w:p>
        </w:tc>
        <w:tc>
          <w:tcPr>
            <w:tcW w:type="dxa" w:w="3798"/>
            <w:vAlign w:val="center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Разрешённое содержимое и выбранный разговор</w:t>
            </w:r>
          </w:p>
        </w:tc>
      </w:tr>
      <w:tr>
        <w:trPr>
          <w:cantSplit/>
        </w:trPr>
        <w:tc>
          <w:tcPr>
            <w:tcW w:type="dxa" w:w="2041"/>
            <w:vAlign w:val="center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Люди/доступ</w:t>
            </w:r>
          </w:p>
        </w:tc>
        <w:tc>
          <w:tcPr>
            <w:tcW w:type="dxa" w:w="3798"/>
            <w:vAlign w:val="center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Управляет назначениями при соответствующей роли</w:t>
            </w:r>
          </w:p>
        </w:tc>
        <w:tc>
          <w:tcPr>
            <w:tcW w:type="dxa" w:w="3798"/>
            <w:vAlign w:val="center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Отдельное полномочие, не роль любого оператора</w:t>
            </w:r>
          </w:p>
        </w:tc>
      </w:tr>
      <w:tr>
        <w:trPr>
          <w:cantSplit/>
        </w:trPr>
        <w:tc>
          <w:tcPr>
            <w:tcW w:type="dxa" w:w="2041"/>
            <w:vAlign w:val="center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Подключения</w:t>
            </w:r>
          </w:p>
        </w:tc>
        <w:tc>
          <w:tcPr>
            <w:tcW w:type="dxa" w:w="3798"/>
            <w:vAlign w:val="center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Настраивает модель/канал/коннектор</w:t>
            </w:r>
          </w:p>
        </w:tc>
        <w:tc>
          <w:tcPr>
            <w:tcW w:type="dxa" w:w="3798"/>
            <w:vAlign w:val="center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Metadata вместо раскрытия секрета</w:t>
            </w:r>
          </w:p>
        </w:tc>
      </w:tr>
      <w:tr>
        <w:trPr>
          <w:cantSplit/>
        </w:trPr>
        <w:tc>
          <w:tcPr>
            <w:tcW w:type="dxa" w:w="2041"/>
            <w:vAlign w:val="center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Устройства</w:t>
            </w:r>
          </w:p>
        </w:tc>
        <w:tc>
          <w:tcPr>
            <w:tcW w:type="dxa" w:w="3798"/>
            <w:vAlign w:val="center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Смотрит состояние и отзывает доступ</w:t>
            </w:r>
          </w:p>
        </w:tc>
        <w:tc>
          <w:tcPr>
            <w:tcW w:type="dxa" w:w="3798"/>
            <w:vAlign w:val="center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Назначенные устройства</w:t>
            </w:r>
          </w:p>
        </w:tc>
      </w:tr>
      <w:tr>
        <w:trPr>
          <w:cantSplit/>
        </w:trPr>
        <w:tc>
          <w:tcPr>
            <w:tcW w:type="dxa" w:w="2041"/>
            <w:vAlign w:val="center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Журнал/эксплуатация</w:t>
            </w:r>
          </w:p>
        </w:tc>
        <w:tc>
          <w:tcPr>
            <w:tcW w:type="dxa" w:w="3798"/>
            <w:vAlign w:val="center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Проверяет receipts, версии и recovery</w:t>
            </w:r>
          </w:p>
        </w:tc>
        <w:tc>
          <w:tcPr>
            <w:tcW w:type="dxa" w:w="3798"/>
            <w:vAlign w:val="center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Только свой экземпляр</w:t>
            </w:r>
          </w:p>
        </w:tc>
      </w:tr>
    </w:tbl>
    <w:p>
      <w:pPr>
        <w:spacing w:after="0" w:before="0" w:line="100" w:lineRule="exact"/>
      </w:pPr>
      <w:r>
        <w:rPr>
          <w:sz w:val="2"/>
        </w:rPr>
        <w:t xml:space="preserve"> </w:t>
      </w:r>
    </w:p>
    <w:p>
      <w:pPr/>
      <w:r>
        <w:t>Списки формируются по реальным capabilities Core. Неподдержанная операция не становится доступной из-за нарисованной кнопки. Существующие read endpoints нужно фильтровать по корпоративным ролям до показа содержимого.</w:t>
      </w:r>
    </w:p>
    <w:p>
      <w:pPr>
        <w:pStyle w:val="Heading1"/>
      </w:pPr>
      <w:r>
        <w:t>5. Архитектура и переиспользование</w:t>
      </w:r>
      <w:bookmarkStart w:id="6" w:name="s6"/>
      <w:bookmarkEnd w:id="6"/>
    </w:p>
    <w:p>
      <w:pPr/>
      <w:r>
        <w:t>Upstream источники: src/adapters/core.mjs, core-mcp-contract.mjs, operator-service.mjs. В Ядре: src/operator-access.ts, operator-http.ts, operator-agent-admin.ts, operator-message.ts, operator-consultation.ts и core-command.ts. Протоколы prepare/commit/status, digest, revision и receipts переиспользуются с тестами, а не заменяются прямыми изменениями файлов.</w:t>
      </w:r>
    </w:p>
    <w:p>
      <w:pPr/>
      <w:r>
        <w:t>В текущем Operator есть прямой Core adapter без обязательного Master gateway. Персональные upstream auth-пути с Master не переносятся в контур заказчика. Company admin credential даёт широкую область; его скрытие за сайтом не создаёт персональный ACL. Нужен серверный контракт identity/scopes с проверкой в Core.</w:t>
      </w:r>
    </w:p>
    <w:p>
      <w:pPr>
        <w:pStyle w:val="Heading1"/>
      </w:pPr>
      <w:r>
        <w:t>6. Контракты и данные</w:t>
      </w:r>
      <w:bookmarkStart w:id="7" w:name="s7"/>
      <w:bookmarkEnd w:id="7"/>
    </w:p>
    <w:p>
      <w:pPr/>
      <w:r>
        <w:t>Read: access/capabilities, agent state/documents, conversations/context/reminders. Mutations: agent-changes/prepare и commit; messages/prepare и commit; status по ID. Consultation: start/read/cancel, отдельное применение/публикация результата. Точные private routes и ограничения: технический проект (см. оглавление документации).</w:t>
      </w:r>
    </w:p>
    <w:p>
      <w:pPr/>
      <w:r>
        <w:t>Core хранит исходное намерение и бизнес-результат. Штурвал хранит серверную сессию, ссылки на операции и временный preview. Browser-переданный actor не считается доказательством личности. Защищённое сопоставление issuer/subject, роли и области обязательно; права перепроверяются при исполнении после ожидания.</w:t>
      </w:r>
    </w:p>
    <w:p>
      <w:pPr>
        <w:pStyle w:val="Heading1"/>
      </w:pPr>
      <w:r>
        <w:t>7. Подготовка и подтверждение</w:t>
      </w:r>
      <w:bookmarkStart w:id="8" w:name="s8"/>
      <w:bookmarkEnd w:id="8"/>
    </w:p>
    <w:p>
      <w:pPr/>
      <w:r>
        <w:t>Оператор выбирает объект → предлагает изменение → Core prepare нормализует действие → UI показывает адресата/diff/область/срок → пользователь подтверждает → Core проверяет actor, revision и digest → возвращает receipt. Устаревшее preview требует повторной подготовки. Таймаут после commit требует status, а не нового ID. Двойной клик возвращает тот же эффект/receipt. Новое содержание с тем же ID — конфликт.</w:t>
      </w:r>
    </w:p>
    <w:p>
      <w:pPr/>
      <w:r>
        <w:t>Чат консультации помогает понять ситуацию. Сгенерированная рекомендация не является командой с повышенными правами. Приватный ответ не публикуется сотруднику сам.</w:t>
      </w:r>
    </w:p>
    <w:p>
      <w:pPr>
        <w:pStyle w:val="Heading1"/>
      </w:pPr>
      <w:r>
        <w:t>8. Безопасность</w:t>
      </w:r>
      <w:bookmarkStart w:id="9" w:name="s9"/>
      <w:bookmarkEnd w:id="9"/>
    </w:p>
    <w:p>
      <w:pPr/>
      <w:r>
        <w:t>Отдельный HTTPS origin, host-only cookie, OIDC, CSRF, проверка полномочий на сервере. Ключи Core/LLM в браузер не выдаются. Имена подключений и ошибки очищаются от секретов. IdP groups отображаются только на явно разрешённые роли. Истечение/отзыв сессии блокирует старое подтверждение. Доступ к чужой области запрещён и по прямому URL. Управление всем парком серверов поставщика и SSH/Fleet не входят в Штурвал Ядра.</w:t>
      </w:r>
    </w:p>
    <w:p>
      <w:pPr>
        <w:pStyle w:val="Heading1"/>
      </w:pPr>
      <w:r>
        <w:t>9. Отказы и сопровождение</w:t>
      </w:r>
      <w:bookmarkStart w:id="10" w:name="s10"/>
      <w:bookmarkEnd w:id="10"/>
    </w:p>
    <w:p>
      <w:pPr/>
      <w:r>
        <w:t>Core недоступен — операции не притворяются выполненными. Изменена revision — новый preview. Идёт другая операция — busy/conflict с понятным продолжением. Неизвестен внешний эффект — статус «требуется проверка». Перезапуск сайта не удаляет receipt. Журнал содержит actor, цель, время, intent/confirmation/result и связь с request; сроки хранения и экспорт определяются принятой политикой.</w:t>
      </w:r>
    </w:p>
    <w:p>
      <w:pPr>
        <w:pStyle w:val="Heading1"/>
      </w:pPr>
      <w:r>
        <w:t>10. Развёртывание и статус</w:t>
      </w:r>
      <w:bookmarkStart w:id="11" w:name="s11"/>
      <w:bookmarkEnd w:id="11"/>
    </w:p>
    <w:p>
      <w:pPr/>
      <w:r>
        <w:t>Сайт и backend на сервере заказчика, Core API только приватный. Проверенный срез Operator 0.2.12 содержит отдельный MCP и рабочее пространство; целевые тесты чтения, привязки компании и консультаций пройдены. Наличие этого кода не означает установку Operator у каждого пользователя. Требование Node &gt;=24.14.1 &lt;25 относится к данному пакету. Веб-пилот чтения и settings prepare/commit развёрнут 11.09.2026. Полный scoped authority, IdP и остальные операции целевого сайта ещё не приняты.</w:t>
      </w:r>
    </w:p>
    <w:p>
      <w:pPr>
        <w:pStyle w:val="Heading1"/>
      </w:pPr>
      <w:r>
        <w:t>11. Приёмка</w:t>
      </w:r>
      <w:bookmarkStart w:id="12" w:name="s12"/>
      <w:bookmarkEnd w:id="12"/>
    </w:p>
    <w:p>
      <w:pPr/>
      <w:r>
        <w:t>ENT-25/26/27/33 и DEMO-04/05/08: браузерный вход без внешнего чата; read по роли; подготовка/подтверждение; replay без дубля; private consultation; revoke; restart; отказ чужому actor; секреты не появляются в ответе, storage и безопасных логах.</w:t>
      </w:r>
    </w:p>
    <w:p>
      <w:pPr>
        <w:pStyle w:val="Heading1"/>
      </w:pPr>
      <w:r>
        <w:t>12. Открытые решения</w:t>
      </w:r>
      <w:bookmarkStart w:id="13" w:name="s13"/>
      <w:bookmarkEnd w:id="13"/>
    </w:p>
    <w:p>
      <w:pPr/>
      <w:r>
        <w:t>Делегированная identity, источники ролей, IdP, серверный transport Operator, проверка совместимости API и матрица функций первого релиза. Полный arbitrary Core API proxy не считается подходящей реализацией этого контракта.</w:t>
      </w:r>
    </w:p>
    <w:p>
      <w:pPr/>
      <w:r>
        <w:t>Общий контекст: системная карта (см. оглавление документации), критерии приёмки (см. оглавление документации), план демо (см. оглавление документации).</w:t>
      </w:r>
    </w:p>
    <w:p>
      <w:pPr>
        <w:pStyle w:val="Heading1"/>
      </w:pPr>
      <w:r>
        <w:t>Разделение управляющих поверхностей</w:t>
      </w:r>
      <w:bookmarkStart w:id="14" w:name="s14"/>
      <w:bookmarkEnd w:id="14"/>
    </w:p>
    <w:p>
      <w:pPr/>
      <w:r>
        <w:t>Веб-Штурвал нужен оператору компании в браузере. Operator MCP нужен авторизованному MCP-клиенту для чтений, подготовки и разрешённых действий Core. Рабочее пространство Operator показывает выбранные данные через ограниченный локальный интерфейс. Техническая страница Context в dashboard относится к лабораторному режиму владельца и не является готовым редактором ролей веб-Штурвала.</w:t>
      </w:r>
    </w:p>
    <w:p>
      <w:pPr/>
      <w:r>
        <w:t>Административные права имеют область компании; произвольные роли подразделений и проектов этим не реализованы. Роль агента описывает его назначение, а права человека определяют доступ к действиям. Изменение текста роли агента не назначает пользователю новые полномочия.</w:t>
      </w:r>
    </w:p>
    <w:p>
      <w:pPr>
        <w:pStyle w:val="Heading1"/>
      </w:pPr>
      <w:r>
        <w:t>Основание документа</w:t>
      </w:r>
    </w:p>
    <w:p>
      <w:pPr>
        <w:keepLines/>
      </w:pPr>
      <w:r>
        <w:rPr>
          <w:sz w:val="18"/>
        </w:rPr>
        <w:t>Сверка продуктовых документов и закреплённых исходников 15 сентября 2026 года. Проверка документации не заменяет промышленную приёмку. Полная применимость определяется документом о состоянии компонентов.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Тимон Ядро · helm-reference · 2026-09-15 ·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7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 w:before="24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Подробный паспорт Штурвала</dc:title>
  <dc:subject/>
  <dc:creator>Тимон Ядро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