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Подробный паспорт Двигателя</w:t>
      </w:r>
    </w:p>
    <w:p>
      <w:r>
        <w:t>Тимон Ядро · Архитектор и разработчик интеграции</w:t>
      </w:r>
    </w:p>
    <w:p>
      <w:r>
        <w:t>Редакция 2026-09-15 · Редакция 15 сентября 2026 года; состояние функций уточняется документом готовности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Область применения источника</w:t>
        </w:r>
      </w:hyperlink>
    </w:p>
    <w:p>
      <w:hyperlink w:anchor="s2">
        <w:r>
          <w:t>1. Цель и смысл</w:t>
        </w:r>
      </w:hyperlink>
    </w:p>
    <w:p>
      <w:hyperlink w:anchor="s3">
        <w:r>
          <w:t>2. Пользователи и ценность</w:t>
        </w:r>
      </w:hyperlink>
    </w:p>
    <w:p>
      <w:hyperlink w:anchor="s4">
        <w:r>
          <w:t>3. Системная карта</w:t>
        </w:r>
      </w:hyperlink>
    </w:p>
    <w:p>
      <w:hyperlink w:anchor="s5">
        <w:r>
          <w:t>4. Ответственность и данные</w:t>
        </w:r>
      </w:hyperlink>
    </w:p>
    <w:p>
      <w:hyperlink w:anchor="s6">
        <w:r>
          <w:t>5. Архитектурные блоки и код</w:t>
        </w:r>
      </w:hyperlink>
    </w:p>
    <w:p>
      <w:hyperlink w:anchor="s7">
        <w:r>
          <w:t>6. Контракты и жизненный цикл</w:t>
        </w:r>
      </w:hyperlink>
    </w:p>
    <w:p>
      <w:hyperlink w:anchor="s8">
        <w:r>
          <w:t>7. Полномочия и границы доверия</w:t>
        </w:r>
      </w:hyperlink>
    </w:p>
    <w:p>
      <w:hyperlink w:anchor="s9">
        <w:r>
          <w:t>8. Ошибки и наблюдаемость</w:t>
        </w:r>
      </w:hyperlink>
    </w:p>
    <w:p>
      <w:hyperlink w:anchor="s10">
        <w:r>
          <w:t>9. Развёртывание и сопровождение</w:t>
        </w:r>
      </w:hyperlink>
    </w:p>
    <w:p>
      <w:hyperlink w:anchor="s11">
        <w:r>
          <w:t>10. Что есть и что предстоит</w:t>
        </w:r>
      </w:hyperlink>
    </w:p>
    <w:p>
      <w:hyperlink w:anchor="s12">
        <w:r>
          <w:t>11. Приёмка</w:t>
        </w:r>
      </w:hyperlink>
    </w:p>
    <w:p>
      <w:hyperlink w:anchor="s13">
        <w:r>
          <w:t>12. Открытые решения</w:t>
        </w:r>
      </w:hyperlink>
    </w:p>
    <w:p>
      <w:hyperlink w:anchor="s14">
        <w:r>
          <w:t>Текущий слой контекста</w:t>
        </w:r>
      </w:hyperlink>
    </w:p>
    <w:p>
      <w:r>
        <w:br w:type="page"/>
      </w:r>
    </w:p>
    <w:p>
      <w:pPr>
        <w:pStyle w:val="Heading1"/>
      </w:pPr>
      <w:r>
        <w:t>Область применения источника</w:t>
      </w:r>
      <w:bookmarkStart w:id="1" w:name="s1"/>
      <w:bookmarkEnd w:id="1"/>
    </w:p>
    <w:p>
      <w:pPr/>
      <w:r>
        <w:t>Двигатель — серверная часть Core, существующие каналы, история, задания, полномочия и инструменты. Описанные далее обязанности задают архитектуру; фактическая включённость функций зависит от версии экземпляра. Свежий код не считается автоматически развёрнутым на публичном сервере.</w:t>
      </w:r>
    </w:p>
    <w:p>
      <w:pPr/>
      <w:r>
        <w:t>Управляемый Context в проверенном срезе является выключенным по умолчанию лабораторным режимом владельца. Общая корпоративная история всех интерфейсов и файловая изоляция многопользовательских исполнителей не считаются завершёнными.</w:t>
      </w:r>
    </w:p>
    <w:p>
      <w:pPr>
        <w:pStyle w:val="Heading1"/>
      </w:pPr>
      <w:r>
        <w:t>1. Цель и смысл</w:t>
      </w:r>
      <w:bookmarkStart w:id="2" w:name="s2"/>
      <w:bookmarkEnd w:id="2"/>
    </w:p>
    <w:p>
      <w:pPr/>
      <w:r>
        <w:t>Превратить запрос человека в управляемое выполнение: сохранить задачу и контекст, подключить разрешённую модель и инструменты, довести действие до наблюдаемого результата. Пользователь должен продолжить ту же работу после переключения между Штатом, Шлюзом и подключённым каналом. Оператор должен видеть, что действительно произошло, в том числе когда результат внешнего действия неизвестен.</w:t>
      </w:r>
    </w:p>
    <w:p>
      <w:pPr/>
      <w:r>
        <w:t>Двигатель — владелец агентной работы. Core управляет состоянием и полномочиями; OpenCode исполняет модельный цикл. Наличие OpenCode не означает, что вся бизнес- логика переносится в него или что собственная языковая модель входит в продукт.</w:t>
      </w:r>
    </w:p>
    <w:p>
      <w:pPr>
        <w:pStyle w:val="Heading1"/>
      </w:pPr>
      <w:r>
        <w:t>2. Пользователи и ценность</w:t>
      </w:r>
      <w:bookmarkStart w:id="3" w:name="s3"/>
      <w:bookmarkEnd w:id="3"/>
    </w:p>
    <w:p>
      <w:pPr/>
      <w:r>
        <w:t>Сотрудник получает результат и историю; оператор — управляемые операции и диагностику; администратор — обслуживаемый экземпляр с понятным состоянием. Разработчик интеграции получает проверяемые контракты вместо доступа к БД. Критерии ценности: задача завершается результатом, история восстанавливается, отмена работает, повтор не создаёт лишний внешний эффект, чужие данные недоступны. Процент успешных задач и задержки измеряются на стенде; целевые числа ещё не заданы.</w:t>
      </w:r>
    </w:p>
    <w:p>
      <w:pPr>
        <w:pStyle w:val="Heading1"/>
      </w:pPr>
      <w:r>
        <w:t>3. Системная карта</w:t>
      </w:r>
      <w:bookmarkStart w:id="4" w:name="s4"/>
      <w:bookmarkEnd w:id="4"/>
    </w:p>
    <w:p>
      <w:pPr>
        <w:spacing w:line="240" w:lineRule="auto"/>
      </w:pPr>
      <w:r>
        <w:rPr>
          <w:rFonts w:ascii="Courier New" w:hAnsi="Courier New"/>
          <w:sz w:val="16"/>
        </w:rPr>
        <w:t>flowchart LR</w:t>
        <w:br/>
        <w:t xml:space="preserve">  Inputs[Штат / Штурвал / Штрих / Шлюз / каналы] --&gt; API[Проверка actor и входного контракта]</w:t>
        <w:br/>
        <w:t xml:space="preserve">  API --&gt; Core[Core: задача и состояние]</w:t>
        <w:br/>
        <w:t xml:space="preserve">  Core --&gt; Queue[Очередь и жизненный цикл]</w:t>
        <w:br/>
        <w:t xml:space="preserve">  Queue --&gt; Executor[OpenCode]</w:t>
        <w:br/>
        <w:t xml:space="preserve">  Executor --&gt; Model[Разрешённая модель]</w:t>
        <w:br/>
        <w:t xml:space="preserve">  Executor --&gt; Tools[Инструменты и коннекторы]</w:t>
        <w:br/>
        <w:t xml:space="preserve">  Tools --&gt; Result[Результат и квитанция]</w:t>
        <w:br/>
        <w:t xml:space="preserve">  Result --&gt; Core</w:t>
        <w:br/>
        <w:t xml:space="preserve">  Core --&gt; Store[История / context / файлы]</w:t>
        <w:br/>
        <w:t xml:space="preserve">  Core --&gt; Events[События и чтение состояния]</w:t>
      </w:r>
    </w:p>
    <w:p>
      <w:pPr/>
      <w:r>
        <w:t>Это целевая корпоративная карта. Разные текущие входы имеют разные механизмы identity; единый scoped web-вход ещё требуется реализовать.</w:t>
      </w:r>
    </w:p>
    <w:p>
      <w:pPr>
        <w:pStyle w:val="Heading1"/>
      </w:pPr>
      <w:r>
        <w:t>4. Ответственность и данные</w:t>
      </w:r>
      <w:bookmarkStart w:id="5" w:name="s5"/>
      <w:bookmarkEnd w:id="5"/>
    </w:p>
    <w:p>
      <w:pPr/>
      <w:r>
        <w:t>Core владеет пользователем/ролью в своём runtime, агентом, диалогом, состоянием задания, назначенным контекстом, расписаниями и receipt. SQLite и рабочие области составляют operational state. Web-клиенты читают разрешённые представления и подают команды, а не изменяют таблицы напрямую. Один логический writer выполняет составные изменения; исторические пути требуют сверки с ADR-016.</w:t>
      </w:r>
    </w:p>
    <w:p>
      <w:pPr/>
      <w:r>
        <w:t>OpenCode владеет исполнением модельного turn и техническими данными своей сессии; Core сохраняет связь с бизнес-задачей и её состоянием. Шлюз владеет локальным исполнением device command. Нельзя объявлять локальное действие успешным по факту его постановки в серверную очередь.</w:t>
      </w:r>
    </w:p>
    <w:p>
      <w:pPr>
        <w:pStyle w:val="Heading1"/>
      </w:pPr>
      <w:r>
        <w:t>5. Архитектурные блоки и код</w:t>
      </w:r>
      <w:bookmarkStart w:id="6" w:name="s6"/>
      <w:bookmarkEnd w:id="6"/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2041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Блок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Источник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Роль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Runtime и маршрутизация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src/main.ts, provider-dispatch.ts, agent-opencode.ts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Выбранный исполнитель и агентный цикл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Сериализация и жизненный цикл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session-turn-queue.ts, runtime-turn-context.ts, turn-receipt.ts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Продолжение, порядок, результаты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Данные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db.ts, reminder-store.ts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История, события, напоминания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Команды управления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core-command.ts, operator-runtime.ts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Typed commands и Core authority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Устройства и каналы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edge-store.ts, channel-edge.ts, bridge-compat.ts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Pairing, actor/agent binding, delivery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Вложения и речь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bridge-attachments.ts, bridge-voice.ts, audio-chunks.ts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Рабочая область, лимиты, обработка медиа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Диагностика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main-dashboard.ts, monitor.ts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Существующая техническая поверхность</w:t>
            </w:r>
          </w:p>
        </w:tc>
      </w:tr>
    </w:tbl>
    <w:p>
      <w:pPr>
        <w:spacing w:after="0" w:before="0" w:line="100" w:lineRule="exact"/>
      </w:pPr>
      <w:r>
        <w:rPr>
          <w:sz w:val="2"/>
        </w:rPr>
        <w:t xml:space="preserve"> </w:t>
      </w:r>
    </w:p>
    <w:p>
      <w:pPr/>
      <w:r>
        <w:t>Пути относительно src/ в этом репозитории. Это карта проверенных точек интеграции, не утверждение, что каждая ветка старого runtime уже соответствует целевому профилю.</w:t>
      </w:r>
    </w:p>
    <w:p>
      <w:pPr>
        <w:pStyle w:val="Heading1"/>
      </w:pPr>
      <w:r>
        <w:t>6. Контракты и жизненный цикл</w:t>
      </w:r>
      <w:bookmarkStart w:id="7" w:name="s7"/>
      <w:bookmarkEnd w:id="7"/>
    </w:p>
    <w:p>
      <w:pPr/>
      <w:r>
        <w:t>Вход должен связывать authenticated actor, agent, разговор/рабочую область, request ID, текст/вложения и разрешённые действия. Идентификаторы не выводятся из display name. Конкретные существующие schemas берутся из модулей Core; не добавляем несовместимые поля без новой версии контракта.</w:t>
      </w:r>
    </w:p>
    <w:p>
      <w:pPr/>
      <w:r>
        <w:t>Целевой переход: принято → выполняется → ожидает данных/подтверждения → завершено, ошибка либо отменено. Неизвестный внешний эффект требует status/reconcile. Доставка события может повторяться, но повтор command ID не должен повторять бизнес-действие. Переключение провайдера после возможного эффекта не означает безопасного повторного запуска. Подтверждение изменения связано с digest/revision.</w:t>
      </w:r>
    </w:p>
    <w:p>
      <w:pPr>
        <w:pStyle w:val="Heading1"/>
      </w:pPr>
      <w:r>
        <w:t>7. Полномочия и границы доверия</w:t>
      </w:r>
      <w:bookmarkStart w:id="8" w:name="s8"/>
      <w:bookmarkEnd w:id="8"/>
    </w:p>
    <w:p>
      <w:pPr/>
      <w:r>
        <w:t>Контекст модели и содержимое файла не являются разрешением. Сервер определяет actor и область доступа, повторно проверяет их при исполнении после очереди. Отдельно контролируются агентные shell/file/network инструменты: фильтрация UI не ограничивает процесс исполнителя. Ключ модели не должен становиться доступным произвольным child tools; способ доставки credentials требует испытания.</w:t>
      </w:r>
    </w:p>
    <w:p>
      <w:pPr/>
      <w:r>
        <w:t>Существующий company-scope Operator не является корпоративным RBAC. Требуются проектные/пользовательские scopes, привязка IdP и отзыв действующих полномочий. Пути, файлы и секреты защищаются независимо от роли owner.</w:t>
      </w:r>
    </w:p>
    <w:p>
      <w:pPr>
        <w:pStyle w:val="Heading1"/>
      </w:pPr>
      <w:r>
        <w:t>8. Ошибки и наблюдаемость</w:t>
      </w:r>
      <w:bookmarkStart w:id="9" w:name="s9"/>
      <w:bookmarkEnd w:id="9"/>
    </w:p>
    <w:p>
      <w:pPr/>
      <w:r>
        <w:t>Модель недоступна: явная ошибка readiness; запрещён незаявленный внешний fallback. Инструмент завершился неизвестно: сохраняем исходное намерение и выясняем эффект. Занята рабочая область: последовательная обработка или явный конфликт. Диск заполнен: контролируемая ошибка без ложного «файл создан». Отмена: проверяется остановка текущей работы и дальнейших побочных действий.</w:t>
      </w:r>
    </w:p>
    <w:p>
      <w:pPr/>
      <w:r>
        <w:t>Наблюдаемость: request/run/receipt IDs, очередь, длительность этапов, provider readiness, ошибка и безопасный контекст для поддержки. Не журналируем raw secrets, а содержание разговоров защищаем политикой доступа/хранения.</w:t>
      </w:r>
    </w:p>
    <w:p>
      <w:pPr>
        <w:pStyle w:val="Heading1"/>
      </w:pPr>
      <w:r>
        <w:t>9. Развёртывание и сопровождение</w:t>
      </w:r>
      <w:bookmarkStart w:id="10" w:name="s10"/>
      <w:bookmarkEnd w:id="10"/>
    </w:p>
    <w:p>
      <w:pPr/>
      <w:r>
        <w:t>Core/OpenCode на сервере заказчика или тестовой VM; технические порты закрыты от браузера. Версии, native dependencies и модель закреплены. Данные отделены от immutable release. Backup охватывает согласованный набор БД/файлов/настроек; миграция и rollback проверяются совместно. Single-node не равен HA.</w:t>
      </w:r>
    </w:p>
    <w:p>
      <w:pPr>
        <w:pStyle w:val="Heading1"/>
      </w:pPr>
      <w:r>
        <w:t>10. Что есть и что предстоит</w:t>
      </w:r>
      <w:bookmarkStart w:id="11" w:name="s11"/>
      <w:bookmarkEnd w:id="11"/>
    </w:p>
    <w:p>
      <w:pPr/>
      <w:r>
        <w:t>Есть исходный Core 0.18.1, локальные unit/build и технический smoke, OpenCode startup, операторские команды и bridge. Не приняты: Linux-поставка, российская модель с tools, реальная STT, полный web identity/RBAC, новая UI/клиентская связка. Локальный synthetic recording test не является измерением качества речи.</w:t>
      </w:r>
    </w:p>
    <w:p>
      <w:pPr>
        <w:pStyle w:val="Heading1"/>
      </w:pPr>
      <w:r>
        <w:t>11. Приёмка</w:t>
      </w:r>
      <w:bookmarkStart w:id="12" w:name="s12"/>
      <w:bookmarkEnd w:id="12"/>
    </w:p>
    <w:p>
      <w:pPr/>
      <w:r>
        <w:t>ENT-02/03/04/08/15/16/18/19/20/21/36/38. Минимум: чистая установка; task с tools и файлом; restart и resume; дубль/отмена/неизвестный эффект; отказ чужому actor; backup/restore. DEMO-01/02/03/07/08. В отчёте — точные версии и реальные результаты.</w:t>
      </w:r>
    </w:p>
    <w:p>
      <w:pPr>
        <w:pStyle w:val="Heading1"/>
      </w:pPr>
      <w:r>
        <w:t>12. Открытые решения</w:t>
      </w:r>
      <w:bookmarkStart w:id="13" w:name="s13"/>
      <w:bookmarkEnd w:id="13"/>
    </w:p>
    <w:p>
      <w:pPr/>
      <w:r>
        <w:t>Выбранная модель/STT, схема делегированной web identity, Linux/BOM, лимиты, лицензирование и egress. Их отсутствие явно блокирует соответствующий ENT, но не переносит ответственность на пользовательский интерфейс.</w:t>
      </w:r>
    </w:p>
    <w:p>
      <w:pPr/>
      <w:r>
        <w:t>Общий контекст: системная карта (см. оглавление документации), критерии приёмки (см. оглавление документации), план демо (см. оглавление документации).</w:t>
      </w:r>
    </w:p>
    <w:p>
      <w:pPr>
        <w:pStyle w:val="Heading1"/>
      </w:pPr>
      <w:r>
        <w:t>Текущий слой контекста</w:t>
      </w:r>
      <w:bookmarkStart w:id="14" w:name="s14"/>
      <w:bookmarkEnd w:id="14"/>
    </w:p>
    <w:p>
      <w:pPr/>
      <w:r>
        <w:t>Встроенный TeamON MCP предоставляет логические области компании, агента и пользователя. Контекстные документы, подтверждённая память и состояние работы имеют разных владельцев. Поиск публичной документации сайта является отдельным сервисным корпусом и не заменяет эти функции.</w:t>
      </w:r>
    </w:p>
    <w:p>
      <w:pPr/>
      <w:r>
        <w:t>Управляемый Context описывает объекты и коллекции с проверками областей доступа. Включение допускается в лабораторном профиле владельца; выдавать этот режим за готовую общекорпоративную базу знаний нельзя. До выпуска необходимо подтвердить изоляцию процессов, чтение исходников и версий, отзыв прав и обходные файловые пути.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engine-reference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Подробный паспорт Двигателя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