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Программа проверки и комплект поставки</w:t>
      </w:r>
    </w:p>
    <w:p>
      <w:r>
        <w:t>Тимон Ядро · Технический заказчик, испытатель, руководитель внедрения</w:t>
      </w:r>
    </w:p>
    <w:p>
      <w:r>
        <w:t>Редакция 2026-09-15 · Редакция 15 сентября 2026 года; состояние функций уточняется документом готовности</w:t>
      </w:r>
    </w:p>
    <w:p>
      <w:r>
        <w:t>Область применимости и актуальные ограничения: https://team-on.ru/yadro/docs/readiness.html</w:t>
      </w:r>
    </w:p>
    <w:p>
      <w:pPr>
        <w:pStyle w:val="Heading1"/>
      </w:pPr>
      <w:r>
        <w:t>Оглавление</w:t>
      </w:r>
    </w:p>
    <w:p>
      <w:hyperlink w:anchor="s1">
        <w:r>
          <w:t>Назначение проверки</w:t>
        </w:r>
      </w:hyperlink>
    </w:p>
    <w:p>
      <w:hyperlink w:anchor="s2">
        <w:r>
          <w:t>Состав документального пакета</w:t>
        </w:r>
      </w:hyperlink>
    </w:p>
    <w:p>
      <w:hyperlink w:anchor="s3">
        <w:r>
          <w:t>Форма протокола</w:t>
        </w:r>
      </w:hyperlink>
    </w:p>
    <w:p>
      <w:hyperlink w:anchor="s4">
        <w:r>
          <w:t>Базовый рабочий сценарий</w:t>
        </w:r>
      </w:hyperlink>
    </w:p>
    <w:p>
      <w:hyperlink w:anchor="s5">
        <w:r>
          <w:t>Операции и сбои</w:t>
        </w:r>
      </w:hyperlink>
    </w:p>
    <w:p>
      <w:hyperlink w:anchor="s6">
        <w:r>
          <w:t>Автономность и восстановление</w:t>
        </w:r>
      </w:hyperlink>
    </w:p>
    <w:p>
      <w:hyperlink w:anchor="s7">
        <w:r>
          <w:t>Критерии передачи</w:t>
        </w:r>
      </w:hyperlink>
    </w:p>
    <w:p>
      <w:hyperlink w:anchor="s8">
        <w:r>
          <w:t>Согласованная поставка клиентов</w:t>
        </w:r>
      </w:hyperlink>
    </w:p>
    <w:p>
      <w:hyperlink w:anchor="s9">
        <w:r>
          <w:t>Проверка слоя Context</w:t>
        </w:r>
      </w:hyperlink>
    </w:p>
    <w:p>
      <w:r>
        <w:br w:type="page"/>
      </w:r>
    </w:p>
    <w:p>
      <w:pPr>
        <w:pStyle w:val="Heading1"/>
      </w:pPr>
      <w:r>
        <w:t>Назначение проверки</w:t>
      </w:r>
      <w:bookmarkStart w:id="1" w:name="s1"/>
      <w:bookmarkEnd w:id="1"/>
    </w:p>
    <w:p>
      <w:pPr/>
      <w:r>
        <w:t>Приёмка устанавливает, что конкретная версия выполняет согласованные задачи в выбранной среде. Наличие исходного кода, успешная сборка, локальный тест и приёмка корпоративной поставки являются разными уровнями подтверждения. Документирование функции не закрывает испытание.</w:t>
      </w:r>
    </w:p>
    <w:p>
      <w:pPr/>
      <w:r>
        <w:t>До начала определяют состав компонентов и сценариев, конфигурацию модели, ОС и браузеры, ограничения, данные испытаний и ответственных. Исключение функции оформляют в спецификации. Нельзя считать полный комплект принятым на основании проверки только серверной части.</w:t>
      </w:r>
    </w:p>
    <w:p>
      <w:pPr>
        <w:pStyle w:val="Heading1"/>
      </w:pPr>
      <w:r>
        <w:t>Состав документального пакета</w:t>
      </w:r>
      <w:bookmarkStart w:id="2" w:name="s2"/>
      <w:bookmarkEnd w:id="2"/>
    </w:p>
    <w:p>
      <w:pPr/>
      <w:r>
        <w:t>Комплект должен содержать описание продукта и функций, архитектуру, модель безопасности, руководства пользователя и администратора, инструкции установки и восстановления, матрицу совместимости, сведения о версиях и известных ограничениях. Подробные паспорта компонентов раскрывают интерфейсы и зоны ответственности.</w:t>
      </w:r>
    </w:p>
    <w:p>
      <w:pPr/>
      <w:r>
        <w:t>Для передачи добавляют перечень артефактов с версиями и контрольными суммами, сведения о зависимостях и лицензиях, протоколы испытаний, порядок обновления и обращения в поддержку. Договорные условия и реквизиты оформляются отдельно. Документация не заменяет отсутствующие исполняемые артефакты, лицензии или фактические результаты тестов.</w:t>
      </w:r>
    </w:p>
    <w:p>
      <w:pPr>
        <w:pStyle w:val="Heading1"/>
      </w:pPr>
      <w:r>
        <w:t>Форма протокола</w:t>
      </w:r>
      <w:bookmarkStart w:id="3" w:name="s3"/>
      <w:bookmarkEnd w:id="3"/>
    </w:p>
    <w:p>
      <w:pPr/>
      <w:r>
        <w:t>Для каждого испытания фиксируют ID, цель, версию, среду, предварительные условия, входные данные, шаги, ожидаемый результат, фактический результат, статус, дату и ссылку на доказательство. Если тест не проводился, это указывается прямо. Статус «не применимо» требует обоснованного исключения функции из профиля.</w:t>
      </w:r>
    </w:p>
    <w:p>
      <w:pPr/>
      <w:r>
        <w:t>Доказательством может быть очищенный журнал, квитанция операции, созданный файл или запись последовательности действий. Скриншот интерфейса не доказывает сохранность данных после перезапуска. Текст модели о выполнении не подтверждает изменение внешней системы.</w:t>
      </w:r>
    </w:p>
    <w:p>
      <w:pPr>
        <w:pStyle w:val="Heading1"/>
      </w:pPr>
      <w:r>
        <w:t>Базовый рабочий сценарий</w:t>
      </w:r>
      <w:bookmarkStart w:id="4" w:name="s4"/>
      <w:bookmarkEnd w:id="4"/>
    </w:p>
    <w:p>
      <w:pPr/>
      <w:r>
        <w:t>Создайте тестового сотрудника с ограниченной областью. Войдите в Штат, выберите назначенного агента, передайте разрешённый документ и задачу. Проверьте результат, происхождение важных фактов и фактическую доступность файла. Перезапустите выбранные компоненты и проверьте продолжение и повторное открытие данных.</w:t>
      </w:r>
    </w:p>
    <w:p>
      <w:pPr/>
      <w:r>
        <w:t>Повторите проверку для чужой учётной записи: она не должна получить недоступную историю или файл по прямой ссылке. Проверьте истечение и отзыв сеанса. Используйте тестовые данные, чтобы отрицательные испытания не создавали реального раскрытия сведений.</w:t>
      </w:r>
    </w:p>
    <w:p>
      <w:pPr>
        <w:pStyle w:val="Heading1"/>
      </w:pPr>
      <w:r>
        <w:t>Операции и сбои</w:t>
      </w:r>
      <w:bookmarkStart w:id="5" w:name="s5"/>
      <w:bookmarkEnd w:id="5"/>
    </w:p>
    <w:p>
      <w:pPr/>
      <w:r>
        <w:t>Проверьте подготовку, подтверждение и квитанцию изменения. Повтор того же запроса и двойной клик не должны создавать второй эффект. Смоделируйте конфликт ревизии и потерю ответа после применения. В последнем случае должен быть способ выяснить состояние прежней операции.</w:t>
      </w:r>
    </w:p>
    <w:p>
      <w:pPr/>
      <w:r>
        <w:t>Проверьте недоступную модель, отказ инструмента, заполненный диск, остановку и разрыв соединения. Для действий на устройстве добавьте сон, отзыв pairing, смену вкладки и отсутствие разрешения ОС. Фиксируйте поведение реально установленной версии, а не ожидаемое поведение архитектурной схемы.</w:t>
      </w:r>
    </w:p>
    <w:p>
      <w:pPr>
        <w:pStyle w:val="Heading1"/>
      </w:pPr>
      <w:r>
        <w:t>Автономность и восстановление</w:t>
      </w:r>
      <w:bookmarkStart w:id="6" w:name="s6"/>
      <w:bookmarkEnd w:id="6"/>
    </w:p>
    <w:p>
      <w:pPr/>
      <w:r>
        <w:t>Отключите внешнюю сеть и выполните выбранные внутренние задачи. Проверьте вход, модель, файлы и нужные интеграции. Отдельно испытайте установку и обновление без внешнего доступа. Любое обязательное внешнее обращение должно быть отражено в фактических ограничениях.</w:t>
      </w:r>
    </w:p>
    <w:p>
      <w:pPr/>
      <w:r>
        <w:t>Восстановите данные из копии на отдельном узле и измерьте время и возможную потерю данных. Сверьте историю, вложения, настройки и доступ. Значения RPO и RTO подтверждаются измерением; единичная успешная загрузка процесса этого не заменяет.</w:t>
      </w:r>
    </w:p>
    <w:p>
      <w:pPr>
        <w:pStyle w:val="Heading1"/>
      </w:pPr>
      <w:r>
        <w:t>Критерии передачи</w:t>
      </w:r>
      <w:bookmarkStart w:id="7" w:name="s7"/>
      <w:bookmarkEnd w:id="7"/>
    </w:p>
    <w:p>
      <w:pPr/>
      <w:r>
        <w:t>Передача допускается в согласованном объёме при наличии артефактов, инструкций и доказательств обязательных сценариев. Открытые проблемы имеют владельца, влияние и решение о допустимости. Перечень ENT в исходной документации используется как реестр требований; исторические отметки в нём не являются актуальным отчётом о релизе.</w:t>
      </w:r>
    </w:p>
    <w:p>
      <w:pPr/>
      <w:r>
        <w:t>В частности, свежий веб-пилот уточняет старые записи «сайт не реализован», но не закрывает автоматически пункты корпоративной авторизации и полной поставки. Итоговый акт должен ссылаться на конкретный набор испытаний, а не на общий факт обновления сайта документации.</w:t>
      </w:r>
    </w:p>
    <w:p>
      <w:pPr>
        <w:pStyle w:val="Heading1"/>
      </w:pPr>
      <w:r>
        <w:t>Согласованная поставка клиентов</w:t>
      </w:r>
      <w:bookmarkStart w:id="8" w:name="s8"/>
      <w:bookmarkEnd w:id="8"/>
    </w:p>
    <w:p>
      <w:pPr/>
      <w:r>
        <w:t>Принятая поставка фиксирует совместимые версии приложения, фоновой среды, расширения и серверной части. У каждого пакета есть происхождение, контрольная сумма и способ отката. Успех сборки или набора unit-тестов не подтверждает работу установленных на конкретном компьютере экземпляров.</w:t>
      </w:r>
    </w:p>
    <w:p>
      <w:pPr/>
      <w:r>
        <w:t>Для личного моста проверяют переход расширение — Штрих — расширение, совпадение истории, сохранение черновика при позднем ответе, отмену только своего запроса, повтор после обрыва без второго исполнения и восстановление после перезапуска. Для корпоративного маршрута отдельно проверяют выбранного агента, отзыв прав, смену привязки и результаты локальных действий.</w:t>
      </w:r>
    </w:p>
    <w:p>
      <w:pPr/>
      <w:r>
        <w:t>Для общего продолжения между каналом, веб-Штатом и личным приложением требуется отдельный контракт идентичности работы. До его реализации успешные независимые разговоры не засчитываются как сквозной сценарий. Проверка Windows-клиента начнётся с выпуска соответствующей версии Штриха; сейчас поддерживаемая платформа приложения — macOS 15 и новее.</w:t>
      </w:r>
    </w:p>
    <w:p>
      <w:pPr>
        <w:pStyle w:val="Heading1"/>
      </w:pPr>
      <w:r>
        <w:t>Проверка слоя Context</w:t>
      </w:r>
      <w:bookmarkStart w:id="9" w:name="s9"/>
      <w:bookmarkEnd w:id="9"/>
    </w:p>
    <w:p>
      <w:pPr/>
      <w:r>
        <w:t>Управляемый Context проверяют отдельно от файловой инвентаризации и публичного поискового индекса. Для каждой области фиксируют владельца, разрешённые чтения и изменения, источник, ревизию и удаление. Проверяют получение документа через поиск, прямую ссылку, историю версий и инструменты исполнителя.</w:t>
      </w:r>
    </w:p>
    <w:p>
      <w:pPr/>
      <w:r>
        <w:t>Текущий лабораторный режим владельца выключен по умолчанию. Для многопользовательского выпуска обязательна проверка изоляции процессов и файловой системы, а также отзыва доступа без обхода через уже запущенные инструменты. Наличие страницы администратора и успешный MCP-запрос не заменяют этот критерий.</w:t>
      </w:r>
    </w:p>
    <w:p>
      <w:pPr>
        <w:pStyle w:val="Heading1"/>
      </w:pPr>
      <w:r>
        <w:t>Основание документа</w:t>
      </w:r>
    </w:p>
    <w:p>
      <w:pPr>
        <w:keepLines/>
      </w:pPr>
      <w:r>
        <w:rPr>
          <w:sz w:val="18"/>
        </w:rPr>
        <w:t>Сверка продуктовых документов и закреплённых исходников 15 сентября 2026 года. Проверка документации не заменяет промышленную приёмку. Полная применимость определяется документом о состоянии компонентов.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Тимон Ядро · acceptance-guide · 2026-09-15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50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проверки и комплект поставки</dc:title>
  <dc:subject/>
  <dc:creator>Тимон Ядро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